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9033"/>
        <w:gridCol w:w="5760"/>
      </w:tblGrid>
      <w:tr>
        <w:tblPrEx/>
        <w:trPr>
          <w:trHeight w:val="36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3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6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Приложение 3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 постановлению администрации муниципального образования Ленинградский муниципальный округ Краснодарского края от 26.02.2026 </w:t>
            </w:r>
            <w:r>
              <w:rPr>
                <w:rFonts w:ascii="Times New Roman" w:hAnsi="Times New Roman" w:eastAsia="Times New Roman" w:cs="Times New Roman"/>
              </w:rPr>
              <w:t xml:space="preserve"> № 199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«Приложение 4</w:t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к муниципальной программе «Развитие улично-дорожной сети в обеспечении безопасности дорожного движения в муниципальном образовании Ленинградский муниципальный округ Краснодарского края»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pStyle w:val="651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Перечень</w:t>
      </w:r>
      <w:r>
        <w:rPr>
          <w:rFonts w:ascii="Times New Roman" w:hAnsi="Times New Roman" w:cs="Times New Roman"/>
          <w:b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работ и расходов на выполнение мероприятий по реализации </w:t>
      </w:r>
      <w:r>
        <w:rPr>
          <w:rFonts w:ascii="Times New Roman" w:hAnsi="Times New Roman" w:cs="Times New Roman"/>
          <w:b/>
        </w:rPr>
      </w:r>
    </w:p>
    <w:p>
      <w:pPr>
        <w:pStyle w:val="651"/>
        <w:jc w:val="center"/>
        <w:widowControl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муниципальной программы на очередной финансовый год</w:t>
      </w:r>
      <w:r>
        <w:rPr>
          <w:rFonts w:ascii="Times New Roman" w:hAnsi="Times New Roman" w:cs="Times New Roman"/>
          <w:b/>
        </w:rPr>
      </w:r>
    </w:p>
    <w:p>
      <w:pPr>
        <w:pStyle w:val="651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tbl>
      <w:tblPr>
        <w:tblW w:w="0" w:type="auto"/>
        <w:tblInd w:w="193" w:type="dxa"/>
        <w:tblBorders>
          <w:top w:val="single" w:color="2B2B2B" w:sz="6" w:space="0"/>
          <w:left w:val="single" w:color="2B2B2B" w:sz="6" w:space="0"/>
          <w:bottom w:val="single" w:color="2B2B2B" w:sz="6" w:space="0"/>
          <w:right w:val="single" w:color="2B2B2B" w:sz="6" w:space="0"/>
          <w:insideH w:val="single" w:color="2B2B2B" w:sz="6" w:space="0"/>
          <w:insideV w:val="single" w:color="2B2B2B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38"/>
        <w:gridCol w:w="7102"/>
        <w:gridCol w:w="1590"/>
        <w:gridCol w:w="1423"/>
        <w:gridCol w:w="1440"/>
        <w:gridCol w:w="1350"/>
        <w:gridCol w:w="1264"/>
      </w:tblGrid>
      <w:tr>
        <w:tblPrEx/>
        <w:trPr>
          <w:trHeight w:val="287"/>
        </w:trPr>
        <w:tc>
          <w:tcPr>
            <w:gridSpan w:val="7"/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</w:rPr>
              <w:t xml:space="preserve">6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  <w:t xml:space="preserve">год 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</w:r>
          </w:p>
        </w:tc>
      </w:tr>
      <w:tr>
        <w:tblPrEx/>
        <w:trPr>
          <w:trHeight w:val="302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Наименование мероприятий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5"/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67" w:type="dxa"/>
            <w:textDirection w:val="lrTb"/>
            <w:noWrap w:val="false"/>
          </w:tcPr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финансирования,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тыс.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руб.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</w:r>
            <w:r>
              <w:rPr>
                <w:rFonts w:ascii="Times New Roman" w:hAnsi="Times New Roman" w:cs="Times New Roman"/>
                <w:spacing w:val="-6"/>
                <w:sz w:val="24"/>
              </w:rPr>
            </w:r>
          </w:p>
        </w:tc>
      </w:tr>
      <w:tr>
        <w:tblPrEx/>
        <w:trPr>
          <w:trHeight w:val="546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Общий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объем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финансирования</w:t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</w:r>
            <w:r>
              <w:rPr>
                <w:rFonts w:ascii="Times New Roman" w:hAnsi="Times New Roman" w:cs="Times New Roman"/>
                <w:spacing w:val="-2"/>
                <w:sz w:val="22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Федеральный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Краевой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Местный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626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pacing w:val="-5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Ремонт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автомобильных</w:t>
            </w:r>
            <w:r>
              <w:rPr>
                <w:rFonts w:ascii="Times New Roman" w:hAnsi="Times New Roman" w:eastAsia="Times New Roman" w:cs="Times New Roman"/>
                <w:b w:val="0"/>
                <w:spacing w:val="5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дорог: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12300,0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12300,0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ямочный ремонт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дороги по ул.Светлой в ст. Ленинградской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дороги в п. Изобильный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</w:tbl>
    <w:tbl>
      <w:tblPr>
        <w:tblW w:w="0" w:type="auto"/>
        <w:tblInd w:w="193" w:type="dxa"/>
        <w:tblBorders>
          <w:top w:val="single" w:color="2B2B2B" w:sz="6" w:space="0"/>
          <w:left w:val="single" w:color="2B2B2B" w:sz="6" w:space="0"/>
          <w:bottom w:val="single" w:color="2B2B2B" w:sz="6" w:space="0"/>
          <w:right w:val="single" w:color="2B2B2B" w:sz="6" w:space="0"/>
          <w:insideH w:val="single" w:color="2B2B2B" w:sz="6" w:space="0"/>
          <w:insideV w:val="single" w:color="2B2B2B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38"/>
        <w:gridCol w:w="7102"/>
        <w:gridCol w:w="1590"/>
        <w:gridCol w:w="1423"/>
        <w:gridCol w:w="1440"/>
        <w:gridCol w:w="1350"/>
        <w:gridCol w:w="1264"/>
      </w:tblGrid>
      <w:tr>
        <w:tblPrEx/>
        <w:trPr>
          <w:trHeight w:val="34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Align w:val="center"/>
            <w:textDirection w:val="lrTb"/>
            <w:noWrap w:val="false"/>
          </w:tcPr>
          <w:p>
            <w:pPr>
              <w:pStyle w:val="651"/>
              <w:ind w:firstLine="0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2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Аренда грейдера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4500,0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4500,0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ГПС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7159,4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7159,4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pStyle w:val="651"/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Строительство и ремонт тротуаров: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18668,9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14081,9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4587,0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устройство тротуара от ул. Красной до ул. Колхозной), ул. Колхозной (устройство тротуара от ул. Комсомольской до ул. Ленина), ул. Театральной (устройство тротуара от ул. Урожайной до ул. Юбилейной) в ст-це Крыловской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14668,9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14081,9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587,0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устройство тротуаров в бетонном исполнении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pStyle w:val="651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Изготовление проектно-сметной документации по обустройству тротуара по ул. Насыпной в ст. Ленинградской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599,3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599,3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42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pStyle w:val="651"/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Строительство и ремонт (модернизация) уличного освещения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5228,3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5228,3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работ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по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технологическому подключению уличного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освещения к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сети электроснабжения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электромонтажного оборудования (расходных материалов (светодиодных ламп, светильников, кронштейнов, монтажной ленты и т.д)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1700,0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1700,0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Align w:val="top"/>
            <w:textDirection w:val="lrTb"/>
            <w:noWrap w:val="false"/>
          </w:tcPr>
          <w:p>
            <w:pPr>
              <w:pStyle w:val="651"/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приобретение расходных материалов для УО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vAlign w:val="top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200,0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pStyle w:val="651"/>
              <w:ind w:firstLine="709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pStyle w:val="651"/>
              <w:ind w:firstLine="709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200,0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pStyle w:val="651"/>
              <w:ind w:firstLine="709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  <w:p>
            <w:pPr>
              <w:pStyle w:val="651"/>
              <w:ind w:firstLine="709"/>
              <w:jc w:val="center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светодиодных ламп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11"/>
                <w:sz w:val="24"/>
              </w:rPr>
              <w:t xml:space="preserve">приобретение светодиодных светильников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Оплата поставки электроэнергии улично-дорожной сети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23500,0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23500,0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Нанесение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дорожной</w:t>
            </w:r>
            <w:r>
              <w:rPr>
                <w:rFonts w:ascii="Times New Roman" w:hAnsi="Times New Roman" w:eastAsia="Times New Roman" w:cs="Times New Roman"/>
                <w:b w:val="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разметки</w:t>
            </w:r>
            <w:r>
              <w:rPr>
                <w:rFonts w:ascii="Times New Roman" w:hAnsi="Times New Roman" w:eastAsia="Times New Roman" w:cs="Times New Roman"/>
                <w:b w:val="0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автомобильных дорогах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6674,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6674,</w:t>
            </w: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горизонтальной разметки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</w:rPr>
              <w:t xml:space="preserve">5974,0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</w:rPr>
              <w:t xml:space="preserve">5974,0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вертикальной разметки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Обустройство улично-дорожной сети вблизи образовательных учреждений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1900,0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1900,0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обустройство ограждения возле НОШ № 40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светофоров Т7, макетов «Дети»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</w:rPr>
              <w:t xml:space="preserve">900,0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color w:val="000000"/>
                <w:sz w:val="24"/>
              </w:rPr>
              <w:t xml:space="preserve">900,0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дорожных знаков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и покраска  остановочных пунктов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соли, транспортные расходы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6500,0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6500,0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светофорных объектов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righ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91129,9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14081,9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77048,0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  <w:tr>
        <w:tblPrEx/>
        <w:trPr>
          <w:trHeight w:val="287"/>
        </w:trPr>
        <w:tc>
          <w:tcPr>
            <w:gridSpan w:val="7"/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</w:rPr>
              <w:t xml:space="preserve">7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  <w:t xml:space="preserve">год 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</w:r>
          </w:p>
        </w:tc>
      </w:tr>
      <w:tr>
        <w:tblPrEx/>
        <w:trPr>
          <w:trHeight w:val="302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Наименование мероприятий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5"/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67" w:type="dxa"/>
            <w:textDirection w:val="lrTb"/>
            <w:noWrap w:val="false"/>
          </w:tcPr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финансирования,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тыс.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руб.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</w:r>
            <w:r>
              <w:rPr>
                <w:rFonts w:ascii="Times New Roman" w:hAnsi="Times New Roman" w:cs="Times New Roman"/>
                <w:spacing w:val="-6"/>
                <w:sz w:val="24"/>
              </w:rPr>
            </w:r>
          </w:p>
        </w:tc>
      </w:tr>
      <w:tr>
        <w:tblPrEx/>
        <w:trPr>
          <w:trHeight w:val="546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Общий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объем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финансирования</w:t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</w:r>
            <w:r>
              <w:rPr>
                <w:rFonts w:ascii="Times New Roman" w:hAnsi="Times New Roman" w:cs="Times New Roman"/>
                <w:spacing w:val="-2"/>
                <w:sz w:val="22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Федеральный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Краевой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Местный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57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pacing w:val="-5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Ремонт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автомобильных</w:t>
            </w:r>
            <w:r>
              <w:rPr>
                <w:rFonts w:ascii="Times New Roman" w:hAnsi="Times New Roman" w:eastAsia="Times New Roman" w:cs="Times New Roman"/>
                <w:b w:val="0"/>
                <w:spacing w:val="5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дорог: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14500,0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14500,0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ямочный ремонт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10000,0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6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аренда грейдера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4500,0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4500,0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Нанесение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дорожной</w:t>
            </w:r>
            <w:r>
              <w:rPr>
                <w:rFonts w:ascii="Times New Roman" w:hAnsi="Times New Roman" w:eastAsia="Times New Roman" w:cs="Times New Roman"/>
                <w:b w:val="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разметки</w:t>
            </w:r>
            <w:r>
              <w:rPr>
                <w:rFonts w:ascii="Times New Roman" w:hAnsi="Times New Roman" w:eastAsia="Times New Roman" w:cs="Times New Roman"/>
                <w:b w:val="0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автомобильных дорогах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6700,0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6700,0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9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горизонтальной разметки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6000,0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6000,0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1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вертикальной разметки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87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Строительство</w:t>
            </w:r>
            <w:r>
              <w:rPr>
                <w:rFonts w:ascii="Times New Roman" w:hAnsi="Times New Roman" w:eastAsia="Times New Roman" w:cs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ремонт (модернизация)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уличного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освещения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4517,5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4517,5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90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работ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по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технологическому подключению уличного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освещения к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сети электроснабжения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электромонтажного оборудования (расходных материалов (светодиодных ламп, светильников, кронштейнов, монтажной ленты и т.д)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5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Обустройство улично-дорожной сети вблизи образовательных учреждений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Строительство и ремонт тротуаров: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7587,0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7587,0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Изготовление проектно-сметной документации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дорожных знаков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ГПС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соли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0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Приобретение, ремонт светофорных объектов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2000,00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и покраска  остановочных пунктов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100,00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Оплата поставки электроэнергии улично-дорожной сети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16000,0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16000,00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righ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66054,5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66054,50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Ind w:w="193" w:type="dxa"/>
        <w:tblBorders>
          <w:top w:val="single" w:color="2B2B2B" w:sz="6" w:space="0"/>
          <w:left w:val="single" w:color="2B2B2B" w:sz="6" w:space="0"/>
          <w:bottom w:val="single" w:color="2B2B2B" w:sz="6" w:space="0"/>
          <w:right w:val="single" w:color="2B2B2B" w:sz="6" w:space="0"/>
          <w:insideH w:val="single" w:color="2B2B2B" w:sz="6" w:space="0"/>
          <w:insideV w:val="single" w:color="2B2B2B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38"/>
        <w:gridCol w:w="7102"/>
        <w:gridCol w:w="1590"/>
        <w:gridCol w:w="1423"/>
        <w:gridCol w:w="1440"/>
        <w:gridCol w:w="1350"/>
        <w:gridCol w:w="1264"/>
      </w:tblGrid>
      <w:tr>
        <w:tblPrEx/>
        <w:trPr>
          <w:trHeight w:val="287"/>
        </w:trPr>
        <w:tc>
          <w:tcPr>
            <w:gridSpan w:val="7"/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</w:rPr>
              <w:t xml:space="preserve">8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  <w:t xml:space="preserve">год 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</w:r>
          </w:p>
        </w:tc>
      </w:tr>
      <w:tr>
        <w:tblPrEx/>
        <w:trPr>
          <w:trHeight w:val="302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Наименование мероприятий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5"/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67" w:type="dxa"/>
            <w:textDirection w:val="lrTb"/>
            <w:noWrap w:val="false"/>
          </w:tcPr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финансирования,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тыс.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руб.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</w:r>
            <w:r>
              <w:rPr>
                <w:rFonts w:ascii="Times New Roman" w:hAnsi="Times New Roman" w:cs="Times New Roman"/>
                <w:spacing w:val="-6"/>
                <w:sz w:val="24"/>
              </w:rPr>
            </w:r>
          </w:p>
        </w:tc>
      </w:tr>
      <w:tr>
        <w:tblPrEx/>
        <w:trPr>
          <w:trHeight w:val="546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Общий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объем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финансирования</w:t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</w:r>
            <w:r>
              <w:rPr>
                <w:rFonts w:ascii="Times New Roman" w:hAnsi="Times New Roman" w:cs="Times New Roman"/>
                <w:spacing w:val="-2"/>
                <w:sz w:val="22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Федеральный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Краевой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Местный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582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pacing w:val="-5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Ремонт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автомобильных</w:t>
            </w:r>
            <w:r>
              <w:rPr>
                <w:rFonts w:ascii="Times New Roman" w:hAnsi="Times New Roman" w:eastAsia="Times New Roman" w:cs="Times New Roman"/>
                <w:b w:val="0"/>
                <w:spacing w:val="5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дорог: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15020,1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15020,10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ямочный ремонт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10500,1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10500,1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аренда грейдера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4520,0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4520,0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Нанесение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дорожной</w:t>
            </w:r>
            <w:r>
              <w:rPr>
                <w:rFonts w:ascii="Times New Roman" w:hAnsi="Times New Roman" w:eastAsia="Times New Roman" w:cs="Times New Roman"/>
                <w:b w:val="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разметки</w:t>
            </w:r>
            <w:r>
              <w:rPr>
                <w:rFonts w:ascii="Times New Roman" w:hAnsi="Times New Roman" w:eastAsia="Times New Roman" w:cs="Times New Roman"/>
                <w:b w:val="0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автомобильных дорогах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6740,0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6740,0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горизонтальной разметки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6030,0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6030,0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вертикальной разметки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710,0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710,0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828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Строительство</w:t>
            </w:r>
            <w:r>
              <w:rPr>
                <w:rFonts w:ascii="Times New Roman" w:hAnsi="Times New Roman" w:eastAsia="Times New Roman" w:cs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ремонт (модернизация)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уличного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освещения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4550,0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4550,0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85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работ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по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технологическому подключению уличного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освещения к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сети электроснабжения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520,0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520,0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85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электромонтажного оборудования (расходных материалов (светодиодных ламп, светильников, кронштейнов, монтажной ленты и т.д)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360,0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360,0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5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Обустройство улично-дорожной сети вблизи образовательных учреждений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320,0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320,0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Строительство и ремонт тротуаров: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7600,0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7600,0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3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Изготовление проектно-сметной документации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532,0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532,0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дорожных знаков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ГПС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соли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1050,0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Приобретение, ремонт светофорных объектов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2050,0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и покраска  остановочных пунктов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Оплата поставки электроэнергии улично-дорожной сети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16100,0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16100,0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righ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67542,1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67542,1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Ind w:w="193" w:type="dxa"/>
        <w:tblBorders>
          <w:top w:val="single" w:color="2B2B2B" w:sz="6" w:space="0"/>
          <w:left w:val="single" w:color="2B2B2B" w:sz="6" w:space="0"/>
          <w:bottom w:val="single" w:color="2B2B2B" w:sz="6" w:space="0"/>
          <w:right w:val="single" w:color="2B2B2B" w:sz="6" w:space="0"/>
          <w:insideH w:val="single" w:color="2B2B2B" w:sz="6" w:space="0"/>
          <w:insideV w:val="single" w:color="2B2B2B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38"/>
        <w:gridCol w:w="7102"/>
        <w:gridCol w:w="1590"/>
        <w:gridCol w:w="1423"/>
        <w:gridCol w:w="1440"/>
        <w:gridCol w:w="1350"/>
        <w:gridCol w:w="1264"/>
      </w:tblGrid>
      <w:tr>
        <w:tblPrEx/>
        <w:trPr>
          <w:trHeight w:val="287"/>
        </w:trPr>
        <w:tc>
          <w:tcPr>
            <w:gridSpan w:val="7"/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  <w:t xml:space="preserve">год 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</w:r>
          </w:p>
        </w:tc>
      </w:tr>
      <w:tr>
        <w:tblPrEx/>
        <w:trPr>
          <w:trHeight w:val="302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Наименование мероприятий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5"/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67" w:type="dxa"/>
            <w:textDirection w:val="lrTb"/>
            <w:noWrap w:val="false"/>
          </w:tcPr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финансирования,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тыс.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руб.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</w:r>
            <w:r>
              <w:rPr>
                <w:rFonts w:ascii="Times New Roman" w:hAnsi="Times New Roman" w:cs="Times New Roman"/>
                <w:spacing w:val="-6"/>
                <w:sz w:val="24"/>
              </w:rPr>
            </w:r>
          </w:p>
        </w:tc>
      </w:tr>
      <w:tr>
        <w:tblPrEx/>
        <w:trPr>
          <w:trHeight w:val="546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Общий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объем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финансирования</w:t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</w:r>
            <w:r>
              <w:rPr>
                <w:rFonts w:ascii="Times New Roman" w:hAnsi="Times New Roman" w:cs="Times New Roman"/>
                <w:spacing w:val="-2"/>
                <w:sz w:val="22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Федеральный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Краевой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Местный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55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pacing w:val="-5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Ремонт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автомобильных</w:t>
            </w:r>
            <w:r>
              <w:rPr>
                <w:rFonts w:ascii="Times New Roman" w:hAnsi="Times New Roman" w:eastAsia="Times New Roman" w:cs="Times New Roman"/>
                <w:b w:val="0"/>
                <w:spacing w:val="5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дорог: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15513,8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15513,8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ямочный ремонт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10913,8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10913,8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аренда грейдера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4600,0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4600,0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0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Нанесение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дорожной</w:t>
            </w:r>
            <w:r>
              <w:rPr>
                <w:rFonts w:ascii="Times New Roman" w:hAnsi="Times New Roman" w:eastAsia="Times New Roman" w:cs="Times New Roman"/>
                <w:b w:val="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разметки</w:t>
            </w:r>
            <w:r>
              <w:rPr>
                <w:rFonts w:ascii="Times New Roman" w:hAnsi="Times New Roman" w:eastAsia="Times New Roman" w:cs="Times New Roman"/>
                <w:b w:val="0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автомобильных дорогах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6850,0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6850,0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горизонтальной разметки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6100,0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6100,0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1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вертикальной разметки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768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Строительство</w:t>
            </w:r>
            <w:r>
              <w:rPr>
                <w:rFonts w:ascii="Times New Roman" w:hAnsi="Times New Roman" w:eastAsia="Times New Roman" w:cs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ремонт (модернизация)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уличного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освещения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5000,0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5000,0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работ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по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технологическому подключению уличного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освещения к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сети электроснабжения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834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электромонтажного оборудования (расходных материалов (светодиодных ламп, светильников, кронштейнов, монтажной ленты и т.д)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380,0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380,0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5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Обустройство улично-дорожной сети вблизи образовательных учреждений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Строительство и ремонт тротуаров: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7800,0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7800,0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Изготовление проектно-сметной документации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дорожных знаков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ГПС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11000,0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11000,0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соли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1100,0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1100,0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Приобретение, ремонт светофорных объектов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2100,0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и покраска  остановочных пунктов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7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Оплата поставки электроэнергии улично-дорожной сети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16500,0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16500,0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righ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70243,8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70243,8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tbl>
      <w:tblPr>
        <w:tblW w:w="0" w:type="auto"/>
        <w:tblInd w:w="193" w:type="dxa"/>
        <w:tblBorders>
          <w:top w:val="single" w:color="2B2B2B" w:sz="6" w:space="0"/>
          <w:left w:val="single" w:color="2B2B2B" w:sz="6" w:space="0"/>
          <w:bottom w:val="single" w:color="2B2B2B" w:sz="6" w:space="0"/>
          <w:right w:val="single" w:color="2B2B2B" w:sz="6" w:space="0"/>
          <w:insideH w:val="single" w:color="2B2B2B" w:sz="6" w:space="0"/>
          <w:insideV w:val="single" w:color="2B2B2B" w:sz="6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38"/>
        <w:gridCol w:w="7102"/>
        <w:gridCol w:w="1590"/>
        <w:gridCol w:w="1423"/>
        <w:gridCol w:w="1440"/>
        <w:gridCol w:w="1350"/>
        <w:gridCol w:w="1264"/>
      </w:tblGrid>
      <w:tr>
        <w:tblPrEx/>
        <w:trPr>
          <w:trHeight w:val="287"/>
        </w:trPr>
        <w:tc>
          <w:tcPr>
            <w:gridSpan w:val="7"/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0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b/>
                <w:spacing w:val="-6"/>
                <w:sz w:val="24"/>
              </w:rPr>
              <w:t xml:space="preserve">30 </w:t>
            </w: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  <w:t xml:space="preserve">год 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b/>
                <w:spacing w:val="-5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5"/>
                <w:sz w:val="24"/>
              </w:rPr>
            </w:r>
            <w:r>
              <w:rPr>
                <w:rFonts w:ascii="Times New Roman" w:hAnsi="Times New Roman" w:cs="Times New Roman"/>
                <w:b/>
                <w:spacing w:val="-5"/>
                <w:sz w:val="24"/>
              </w:rPr>
            </w:r>
          </w:p>
        </w:tc>
      </w:tr>
      <w:tr>
        <w:tblPrEx/>
        <w:trPr>
          <w:trHeight w:val="302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Наименование мероприятий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gridSpan w:val="5"/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67" w:type="dxa"/>
            <w:textDirection w:val="lrTb"/>
            <w:noWrap w:val="false"/>
          </w:tcPr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Объем</w:t>
            </w:r>
            <w:r>
              <w:rPr>
                <w:rFonts w:ascii="Times New Roman" w:hAnsi="Times New Roman" w:eastAsia="Times New Roman" w:cs="Times New Roman"/>
                <w:spacing w:val="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финансирования,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тыс.</w:t>
            </w:r>
            <w:r>
              <w:rPr>
                <w:rFonts w:ascii="Times New Roman" w:hAnsi="Times New Roman" w:eastAsia="Times New Roman" w:cs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руб.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709"/>
              <w:jc w:val="center"/>
              <w:widowControl/>
              <w:rPr>
                <w:rFonts w:ascii="Times New Roman" w:hAnsi="Times New Roman" w:cs="Times New Roman"/>
                <w:spacing w:val="-6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</w:r>
            <w:r>
              <w:rPr>
                <w:rFonts w:ascii="Times New Roman" w:hAnsi="Times New Roman" w:cs="Times New Roman"/>
                <w:spacing w:val="-6"/>
                <w:sz w:val="24"/>
              </w:rPr>
            </w:r>
          </w:p>
        </w:tc>
      </w:tr>
      <w:tr>
        <w:tblPrEx/>
        <w:trPr>
          <w:trHeight w:val="546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Общий</w:t>
            </w: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объем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  <w:t xml:space="preserve">финансирования</w:t>
            </w:r>
            <w:r>
              <w:rPr>
                <w:rFonts w:ascii="Times New Roman" w:hAnsi="Times New Roman" w:cs="Times New Roman"/>
                <w:sz w:val="22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pacing w:val="-2"/>
                <w:sz w:val="22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2"/>
              </w:rPr>
            </w:r>
            <w:r>
              <w:rPr>
                <w:rFonts w:ascii="Times New Roman" w:hAnsi="Times New Roman" w:cs="Times New Roman"/>
                <w:spacing w:val="-2"/>
                <w:sz w:val="22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Федеральный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Краевой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Местный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бюджет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Внебюджетные источники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576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pacing w:val="-5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1</w:t>
            </w:r>
            <w:r>
              <w:rPr>
                <w:rFonts w:ascii="Times New Roman" w:hAnsi="Times New Roman" w:cs="Times New Roman"/>
                <w:spacing w:val="-5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Ремонт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автомобильных</w:t>
            </w:r>
            <w:r>
              <w:rPr>
                <w:rFonts w:ascii="Times New Roman" w:hAnsi="Times New Roman" w:eastAsia="Times New Roman" w:cs="Times New Roman"/>
                <w:b w:val="0"/>
                <w:spacing w:val="58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дорог: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15633,6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pacing w:val="-2"/>
                <w:sz w:val="24"/>
              </w:rPr>
              <w:t xml:space="preserve">15633,6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ямочный ремонт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10983,8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10983,8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94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аренда грейдера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4650,0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4650,0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restart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Нанесение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дорожной</w:t>
            </w:r>
            <w:r>
              <w:rPr>
                <w:rFonts w:ascii="Times New Roman" w:hAnsi="Times New Roman" w:eastAsia="Times New Roman" w:cs="Times New Roman"/>
                <w:b w:val="0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разметки</w:t>
            </w:r>
            <w:r>
              <w:rPr>
                <w:rFonts w:ascii="Times New Roman" w:hAnsi="Times New Roman" w:eastAsia="Times New Roman" w:cs="Times New Roman"/>
                <w:b w:val="0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spacing w:val="-8"/>
                <w:sz w:val="24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 w:val="0"/>
                <w:spacing w:val="-2"/>
                <w:sz w:val="24"/>
              </w:rPr>
              <w:t xml:space="preserve">автомобильных дорогах</w:t>
            </w: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6950,0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6950,0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горизонтальной разметки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6150,0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6150,0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вертикальной разметки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836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Строительство</w:t>
            </w:r>
            <w:r>
              <w:rPr>
                <w:rFonts w:ascii="Times New Roman" w:hAnsi="Times New Roman" w:eastAsia="Times New Roman" w:cs="Times New Roman"/>
                <w:spacing w:val="19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24"/>
              </w:rPr>
              <w:t xml:space="preserve">и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ремонт (модернизация)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уличного</w:t>
            </w:r>
            <w:r>
              <w:rPr>
                <w:rFonts w:ascii="Times New Roman" w:hAnsi="Times New Roman" w:eastAsia="Times New Roman" w:cs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освещения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5500,0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5500,0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79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Выполнение</w:t>
            </w:r>
            <w:r>
              <w:rPr>
                <w:rFonts w:ascii="Times New Roman" w:hAnsi="Times New Roman" w:eastAsia="Times New Roman" w:cs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работ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</w:rPr>
              <w:t xml:space="preserve">по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технологическому подключению уличного</w:t>
            </w:r>
            <w:r>
              <w:rPr>
                <w:rFonts w:ascii="Times New Roman" w:hAnsi="Times New Roman" w:eastAsia="Times New Roman" w:cs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sz w:val="24"/>
              </w:rPr>
              <w:t xml:space="preserve">освещения к </w:t>
            </w:r>
            <w:r>
              <w:rPr>
                <w:rFonts w:ascii="Times New Roman" w:hAnsi="Times New Roman" w:eastAsia="Times New Roman" w:cs="Times New Roman"/>
                <w:sz w:val="24"/>
              </w:rPr>
              <w:t xml:space="preserve">сети электроснабжения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pacing w:val="-2"/>
                <w:sz w:val="24"/>
              </w:rPr>
              <w:t xml:space="preserve">650,0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822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электромонтажного оборудования (расходных материалов (светодиодных ламп, светильников, кронштейнов, монтажной ленты и т.д)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400,0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57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Обустройство улично-дорожной сети вблизи образовательных учреждений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370,0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370,0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Строительство и ремонт тротуаров: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8000,0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8000,0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Изготовление проектно-сметной документации 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800,0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800,0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94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дорожных знаков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2200,0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2200,0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ГПС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11500,0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11500,0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 соли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1150,0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1150,0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Приобретение, ремонт светофорных объектов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2150,0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2150,0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Ремонт и покраска остановочных пунктов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250,0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339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lef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Оплата поставки электроэнергии улично-дорожной сети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17500,0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17500,0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right"/>
              <w:widowControl/>
              <w:rPr>
                <w:rFonts w:ascii="Times New Roman" w:hAnsi="Times New Roman" w:cs="Times New Roman"/>
                <w:b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4"/>
              </w:rPr>
              <w:t xml:space="preserve">Итого:</w:t>
            </w:r>
            <w:r>
              <w:rPr>
                <w:rFonts w:ascii="Times New Roman" w:hAnsi="Times New Roman" w:cs="Times New Roman"/>
                <w:b w:val="0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73053,6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73053,6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8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02" w:type="dxa"/>
            <w:textDirection w:val="lrTb"/>
            <w:noWrap w:val="false"/>
          </w:tcPr>
          <w:p>
            <w:pPr>
              <w:ind w:firstLine="0"/>
              <w:jc w:val="right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Всего: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90" w:type="dxa"/>
            <w:textDirection w:val="lrTb"/>
            <w:noWrap w:val="false"/>
          </w:tcPr>
          <w:p>
            <w:pPr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371404,6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14082,0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50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357322,6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tcBorders>
              <w:top w:val="single" w:color="2B2B2B" w:sz="6" w:space="0"/>
              <w:left w:val="single" w:color="2B2B2B" w:sz="6" w:space="0"/>
              <w:bottom w:val="single" w:color="2B2B2B" w:sz="6" w:space="0"/>
              <w:right w:val="single" w:color="2B2B2B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64" w:type="dxa"/>
            <w:textDirection w:val="lrTb"/>
            <w:noWrap w:val="false"/>
          </w:tcPr>
          <w:p>
            <w:pPr>
              <w:ind w:firstLine="0"/>
              <w:jc w:val="center"/>
              <w:widowControl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</w:rPr>
              <w:t xml:space="preserve">0,0</w:t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</w:tr>
    </w:tbl>
    <w:p>
      <w:pPr>
        <w:pStyle w:val="651"/>
        <w:jc w:val="right"/>
        <w:widowControl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»</w:t>
      </w:r>
      <w:r>
        <w:rPr>
          <w:rFonts w:ascii="Times New Roman" w:hAnsi="Times New Roman" w:eastAsia="Times New Roman" w:cs="Times New Roman"/>
        </w:rPr>
      </w:r>
    </w:p>
    <w:p>
      <w:pPr>
        <w:pStyle w:val="65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p>
      <w:pPr>
        <w:pStyle w:val="651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651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Заместитель главы Ленинградского</w:t>
      </w:r>
      <w:r>
        <w:rPr>
          <w:rFonts w:ascii="Times New Roman" w:hAnsi="Times New Roman" w:cs="Times New Roman"/>
          <w:b w:val="0"/>
          <w:sz w:val="28"/>
        </w:rPr>
      </w:r>
    </w:p>
    <w:p>
      <w:pPr>
        <w:pStyle w:val="651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eastAsia="Times New Roman" w:cs="Times New Roman"/>
          <w:b w:val="0"/>
          <w:sz w:val="28"/>
        </w:rPr>
        <w:t xml:space="preserve">муниципального округа                                                                                                                                               В.В. Мальченко</w:t>
      </w:r>
      <w:r>
        <w:rPr>
          <w:rFonts w:ascii="Times New Roman" w:hAnsi="Times New Roman" w:cs="Times New Roman"/>
          <w:b w:val="0"/>
          <w:sz w:val="28"/>
        </w:rPr>
      </w:r>
    </w:p>
    <w:sectPr>
      <w:headerReference w:type="default" r:id="rId8"/>
      <w:footnotePr/>
      <w:endnotePr/>
      <w:type w:val="nextPage"/>
      <w:pgSz w:w="16848" w:h="11908" w:orient="landscape"/>
      <w:pgMar w:top="1701" w:right="737" w:bottom="1020" w:left="1304" w:header="1134" w:footer="1134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XO Thames">
    <w:panose1 w:val="02000603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7"/>
      <w:jc w:val="center"/>
      <w:widowControl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0000" cy="1270000"/>
              <wp:effectExtent l="0" t="0" r="0" b="0"/>
              <wp:wrapSquare wrapText="bothSides"/>
              <wp:docPr id="1" name="Picture 1" hidden="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 rot="0" flipH="0" flipV="0">
                        <a:off x="0" y="0"/>
                        <a:ext cx="1270000" cy="1270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651"/>
                            <w:jc w:val="center"/>
                            <w:widowControl/>
                            <w:rPr>
                              <w:color w:val="000000"/>
                              <w:spacing w:val="0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instrText xml:space="preserve">PAGE \* Arabic</w:instrTex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0"/>
                            </w:rPr>
                            <w:fldChar w:fldCharType="end"/>
                          </w:r>
                          <w:r>
                            <w:rPr>
                              <w:color w:val="000000"/>
                              <w:spacing w:val="0"/>
                            </w:rPr>
                          </w:r>
                        </w:p>
                      </w:txbxContent>
                    </wps:txbx>
                    <wps:bodyPr vert="horz" wrap="none" lIns="91440" tIns="45720" rIns="91440" bIns="45720" anchor="ctr" anchorCtr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251658240;o:allowoverlap:true;o:allowincell:true;mso-position-horizontal-relative:margin;mso-position-horizontal:center;mso-position-vertical-relative:text;margin-top:0.00pt;mso-position-vertical:absolute;width:100.00pt;height:100.00pt;mso-wrap-distance-left:0.00pt;mso-wrap-distance-top:0.00pt;mso-wrap-distance-right:0.00pt;mso-wrap-distance-bottom:0.00pt;rotation:0;v-text-anchor:middle;visibility:visible;" filled="f">
              <w10:wrap type="square"/>
              <v:textbox inset="0,0,0,0">
                <w:txbxContent>
                  <w:p>
                    <w:pPr>
                      <w:pStyle w:val="651"/>
                      <w:jc w:val="center"/>
                      <w:widowControl/>
                      <w:rPr>
                        <w:color w:val="000000"/>
                        <w:spacing w:val="0"/>
                      </w:rPr>
                    </w:pPr>
                    <w:r>
                      <w:rPr>
                        <w:color w:val="000000"/>
                        <w:spacing w:val="0"/>
                      </w:rPr>
                      <w:fldChar w:fldCharType="begin"/>
                    </w:r>
                    <w:r>
                      <w:rPr>
                        <w:color w:val="000000"/>
                        <w:spacing w:val="0"/>
                      </w:rPr>
                      <w:instrText xml:space="preserve">PAGE \* Arabic</w:instrText>
                    </w:r>
                    <w:r>
                      <w:rPr>
                        <w:color w:val="000000"/>
                        <w:spacing w:val="0"/>
                      </w:rPr>
                      <w:fldChar w:fldCharType="separate"/>
                    </w:r>
                    <w:r>
                      <w:rPr>
                        <w:color w:val="000000"/>
                        <w:spacing w:val="0"/>
                      </w:rPr>
                      <w:t xml:space="preserve"> </w:t>
                    </w:r>
                    <w:r>
                      <w:rPr>
                        <w:color w:val="000000"/>
                        <w:spacing w:val="0"/>
                      </w:rPr>
                      <w:fldChar w:fldCharType="end"/>
                    </w:r>
                    <w:r>
                      <w:rPr>
                        <w:color w:val="000000"/>
                        <w:spacing w:val="0"/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XO Thames" w:hAnsi="XO Thames" w:eastAsia="Times New Roman" w:cs="Times New Roman"/>
        <w:color w:val="000000"/>
        <w:sz w:val="24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1">
    <w:name w:val="Default Paragraph Font"/>
    <w:uiPriority w:val="1"/>
    <w:semiHidden/>
    <w:unhideWhenUsed/>
  </w:style>
  <w:style w:type="character" w:styleId="14">
    <w:name w:val="Heading 1 Char"/>
    <w:basedOn w:val="11"/>
    <w:link w:val="670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11"/>
    <w:link w:val="692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11"/>
    <w:link w:val="66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11"/>
    <w:link w:val="690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11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2"/>
    <w:next w:val="65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2"/>
    <w:next w:val="65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2"/>
    <w:next w:val="65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2"/>
    <w:next w:val="65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2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11"/>
    <w:link w:val="688"/>
    <w:uiPriority w:val="10"/>
    <w:rPr>
      <w:sz w:val="48"/>
      <w:szCs w:val="48"/>
    </w:rPr>
  </w:style>
  <w:style w:type="character" w:styleId="37">
    <w:name w:val="Subtitle Char"/>
    <w:basedOn w:val="11"/>
    <w:link w:val="686"/>
    <w:uiPriority w:val="11"/>
    <w:rPr>
      <w:sz w:val="24"/>
      <w:szCs w:val="24"/>
    </w:rPr>
  </w:style>
  <w:style w:type="paragraph" w:styleId="38">
    <w:name w:val="Quote"/>
    <w:basedOn w:val="652"/>
    <w:next w:val="65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2"/>
    <w:next w:val="65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5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52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52"/>
    <w:next w:val="65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5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652"/>
    <w:next w:val="652"/>
    <w:uiPriority w:val="99"/>
    <w:unhideWhenUsed/>
    <w:pPr>
      <w:spacing w:after="0" w:afterAutospacing="0"/>
    </w:pPr>
  </w:style>
  <w:style w:type="paragraph" w:styleId="651" w:default="1">
    <w:name w:val="Normal"/>
    <w:link w:val="652"/>
    <w:uiPriority w:val="0"/>
    <w:qFormat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652" w:default="1">
    <w:name w:val="Normal"/>
    <w:link w:val="651"/>
    <w:rPr>
      <w:rFonts w:ascii="XO Thames" w:hAnsi="XO Thames"/>
      <w:sz w:val="28"/>
    </w:rPr>
  </w:style>
  <w:style w:type="paragraph" w:styleId="653">
    <w:name w:val="toc 2"/>
    <w:next w:val="651"/>
    <w:link w:val="654"/>
    <w:uiPriority w:val="39"/>
    <w:pPr>
      <w:ind w:left="200" w:firstLine="0"/>
      <w:jc w:val="left"/>
      <w:widowControl/>
    </w:pPr>
    <w:rPr>
      <w:rFonts w:ascii="XO Thames" w:hAnsi="XO Thames"/>
      <w:sz w:val="28"/>
    </w:rPr>
  </w:style>
  <w:style w:type="character" w:styleId="654">
    <w:name w:val="toc 2"/>
    <w:link w:val="653"/>
    <w:rPr>
      <w:rFonts w:ascii="XO Thames" w:hAnsi="XO Thames"/>
      <w:sz w:val="28"/>
    </w:rPr>
  </w:style>
  <w:style w:type="paragraph" w:styleId="655">
    <w:name w:val="toc 4"/>
    <w:next w:val="651"/>
    <w:link w:val="656"/>
    <w:uiPriority w:val="39"/>
    <w:pPr>
      <w:ind w:left="600" w:firstLine="0"/>
      <w:jc w:val="left"/>
      <w:widowControl/>
    </w:pPr>
    <w:rPr>
      <w:rFonts w:ascii="XO Thames" w:hAnsi="XO Thames"/>
      <w:sz w:val="28"/>
    </w:rPr>
  </w:style>
  <w:style w:type="character" w:styleId="656">
    <w:name w:val="toc 4"/>
    <w:link w:val="655"/>
    <w:rPr>
      <w:rFonts w:ascii="XO Thames" w:hAnsi="XO Thames"/>
      <w:sz w:val="28"/>
    </w:rPr>
  </w:style>
  <w:style w:type="paragraph" w:styleId="657">
    <w:name w:val="toc 6"/>
    <w:next w:val="651"/>
    <w:link w:val="658"/>
    <w:uiPriority w:val="39"/>
    <w:pPr>
      <w:ind w:left="1000" w:firstLine="0"/>
      <w:jc w:val="left"/>
      <w:widowControl/>
    </w:pPr>
    <w:rPr>
      <w:rFonts w:ascii="XO Thames" w:hAnsi="XO Thames"/>
      <w:sz w:val="28"/>
    </w:rPr>
  </w:style>
  <w:style w:type="character" w:styleId="658">
    <w:name w:val="toc 6"/>
    <w:link w:val="657"/>
    <w:rPr>
      <w:rFonts w:ascii="XO Thames" w:hAnsi="XO Thames"/>
      <w:sz w:val="28"/>
    </w:rPr>
  </w:style>
  <w:style w:type="paragraph" w:styleId="659">
    <w:name w:val="toc 7"/>
    <w:next w:val="651"/>
    <w:link w:val="660"/>
    <w:uiPriority w:val="39"/>
    <w:pPr>
      <w:ind w:left="1200" w:firstLine="0"/>
      <w:jc w:val="left"/>
      <w:widowControl/>
    </w:pPr>
    <w:rPr>
      <w:rFonts w:ascii="XO Thames" w:hAnsi="XO Thames"/>
      <w:sz w:val="28"/>
    </w:rPr>
  </w:style>
  <w:style w:type="character" w:styleId="660">
    <w:name w:val="toc 7"/>
    <w:link w:val="659"/>
    <w:rPr>
      <w:rFonts w:ascii="XO Thames" w:hAnsi="XO Thames"/>
      <w:sz w:val="28"/>
    </w:rPr>
  </w:style>
  <w:style w:type="paragraph" w:styleId="661">
    <w:name w:val="Endnote"/>
    <w:link w:val="662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62">
    <w:name w:val="Endnote"/>
    <w:link w:val="661"/>
    <w:rPr>
      <w:rFonts w:ascii="XO Thames" w:hAnsi="XO Thames"/>
      <w:sz w:val="22"/>
    </w:rPr>
  </w:style>
  <w:style w:type="paragraph" w:styleId="663">
    <w:name w:val="Heading 3"/>
    <w:next w:val="651"/>
    <w:link w:val="664"/>
    <w:uiPriority w:val="9"/>
    <w:qFormat/>
    <w:pPr>
      <w:jc w:val="both"/>
      <w:spacing w:before="120" w:after="120"/>
      <w:widowControl/>
      <w:outlineLvl w:val="2"/>
    </w:pPr>
    <w:rPr>
      <w:rFonts w:ascii="XO Thames" w:hAnsi="XO Thames"/>
      <w:b/>
      <w:sz w:val="26"/>
    </w:rPr>
  </w:style>
  <w:style w:type="character" w:styleId="664">
    <w:name w:val="Heading 3"/>
    <w:link w:val="663"/>
    <w:rPr>
      <w:rFonts w:ascii="XO Thames" w:hAnsi="XO Thames"/>
      <w:b/>
      <w:sz w:val="26"/>
    </w:rPr>
  </w:style>
  <w:style w:type="paragraph" w:styleId="665">
    <w:name w:val="toc 3"/>
    <w:next w:val="651"/>
    <w:link w:val="666"/>
    <w:uiPriority w:val="39"/>
    <w:pPr>
      <w:ind w:left="400" w:firstLine="0"/>
      <w:jc w:val="left"/>
      <w:widowControl/>
    </w:pPr>
    <w:rPr>
      <w:rFonts w:ascii="XO Thames" w:hAnsi="XO Thames"/>
      <w:sz w:val="28"/>
    </w:rPr>
  </w:style>
  <w:style w:type="character" w:styleId="666">
    <w:name w:val="toc 3"/>
    <w:link w:val="665"/>
    <w:rPr>
      <w:rFonts w:ascii="XO Thames" w:hAnsi="XO Thames"/>
      <w:sz w:val="28"/>
    </w:rPr>
  </w:style>
  <w:style w:type="paragraph" w:styleId="667">
    <w:name w:val="Heading 5"/>
    <w:next w:val="651"/>
    <w:link w:val="668"/>
    <w:uiPriority w:val="9"/>
    <w:qFormat/>
    <w:pPr>
      <w:jc w:val="both"/>
      <w:spacing w:before="120" w:after="120"/>
      <w:widowControl/>
      <w:outlineLvl w:val="4"/>
    </w:pPr>
    <w:rPr>
      <w:rFonts w:ascii="XO Thames" w:hAnsi="XO Thames"/>
      <w:b/>
      <w:sz w:val="22"/>
    </w:rPr>
  </w:style>
  <w:style w:type="character" w:styleId="668">
    <w:name w:val="Heading 5"/>
    <w:link w:val="667"/>
    <w:rPr>
      <w:rFonts w:ascii="XO Thames" w:hAnsi="XO Thames"/>
      <w:b/>
      <w:sz w:val="22"/>
    </w:rPr>
  </w:style>
  <w:style w:type="paragraph" w:styleId="669">
    <w:name w:val="Heading 1"/>
    <w:next w:val="651"/>
    <w:link w:val="670"/>
    <w:uiPriority w:val="9"/>
    <w:qFormat/>
    <w:pPr>
      <w:jc w:val="both"/>
      <w:spacing w:before="120" w:after="120"/>
      <w:widowControl/>
      <w:outlineLvl w:val="0"/>
    </w:pPr>
    <w:rPr>
      <w:rFonts w:ascii="XO Thames" w:hAnsi="XO Thames"/>
      <w:b/>
      <w:sz w:val="32"/>
    </w:rPr>
  </w:style>
  <w:style w:type="character" w:styleId="670">
    <w:name w:val="Heading 1"/>
    <w:link w:val="669"/>
    <w:rPr>
      <w:rFonts w:ascii="XO Thames" w:hAnsi="XO Thames"/>
      <w:b/>
      <w:sz w:val="32"/>
    </w:rPr>
  </w:style>
  <w:style w:type="paragraph" w:styleId="671">
    <w:name w:val="Hyperlink"/>
    <w:link w:val="672"/>
    <w:rPr>
      <w:color w:val="0000ff"/>
      <w:u w:val="single"/>
    </w:rPr>
  </w:style>
  <w:style w:type="character" w:styleId="672">
    <w:name w:val="Hyperlink"/>
    <w:link w:val="671"/>
    <w:rPr>
      <w:color w:val="0000ff"/>
      <w:u w:val="single"/>
    </w:rPr>
  </w:style>
  <w:style w:type="paragraph" w:styleId="673">
    <w:name w:val="Footnote"/>
    <w:link w:val="674"/>
    <w:pPr>
      <w:ind w:left="0" w:firstLine="851"/>
      <w:jc w:val="both"/>
      <w:widowControl/>
    </w:pPr>
    <w:rPr>
      <w:rFonts w:ascii="XO Thames" w:hAnsi="XO Thames"/>
      <w:sz w:val="22"/>
    </w:rPr>
  </w:style>
  <w:style w:type="character" w:styleId="674">
    <w:name w:val="Footnote"/>
    <w:link w:val="673"/>
    <w:rPr>
      <w:rFonts w:ascii="XO Thames" w:hAnsi="XO Thames"/>
      <w:sz w:val="22"/>
    </w:rPr>
  </w:style>
  <w:style w:type="paragraph" w:styleId="675">
    <w:name w:val="toc 1"/>
    <w:next w:val="651"/>
    <w:link w:val="676"/>
    <w:uiPriority w:val="39"/>
    <w:pPr>
      <w:ind w:left="0" w:firstLine="0"/>
      <w:jc w:val="left"/>
      <w:widowControl/>
    </w:pPr>
    <w:rPr>
      <w:rFonts w:ascii="XO Thames" w:hAnsi="XO Thames"/>
      <w:b/>
      <w:sz w:val="28"/>
    </w:rPr>
  </w:style>
  <w:style w:type="character" w:styleId="676">
    <w:name w:val="toc 1"/>
    <w:link w:val="675"/>
    <w:rPr>
      <w:rFonts w:ascii="XO Thames" w:hAnsi="XO Thames"/>
      <w:b/>
      <w:sz w:val="28"/>
    </w:rPr>
  </w:style>
  <w:style w:type="paragraph" w:styleId="677">
    <w:name w:val="Header and Footer"/>
    <w:link w:val="678"/>
    <w:pPr>
      <w:jc w:val="both"/>
      <w:spacing w:line="240" w:lineRule="auto"/>
      <w:widowControl/>
    </w:pPr>
    <w:rPr>
      <w:rFonts w:ascii="XO Thames" w:hAnsi="XO Thames"/>
      <w:sz w:val="28"/>
    </w:rPr>
  </w:style>
  <w:style w:type="character" w:styleId="678">
    <w:name w:val="Header and Footer"/>
    <w:link w:val="677"/>
    <w:rPr>
      <w:rFonts w:ascii="XO Thames" w:hAnsi="XO Thames"/>
      <w:sz w:val="28"/>
    </w:rPr>
  </w:style>
  <w:style w:type="paragraph" w:styleId="679">
    <w:name w:val="toc 9"/>
    <w:next w:val="651"/>
    <w:link w:val="680"/>
    <w:uiPriority w:val="39"/>
    <w:pPr>
      <w:ind w:left="1600" w:firstLine="0"/>
      <w:jc w:val="left"/>
      <w:widowControl/>
    </w:pPr>
    <w:rPr>
      <w:rFonts w:ascii="XO Thames" w:hAnsi="XO Thames"/>
      <w:sz w:val="28"/>
    </w:rPr>
  </w:style>
  <w:style w:type="character" w:styleId="680">
    <w:name w:val="toc 9"/>
    <w:link w:val="679"/>
    <w:rPr>
      <w:rFonts w:ascii="XO Thames" w:hAnsi="XO Thames"/>
      <w:sz w:val="28"/>
    </w:rPr>
  </w:style>
  <w:style w:type="paragraph" w:styleId="681">
    <w:name w:val="toc 8"/>
    <w:next w:val="651"/>
    <w:link w:val="682"/>
    <w:uiPriority w:val="39"/>
    <w:pPr>
      <w:ind w:left="1400" w:firstLine="0"/>
      <w:jc w:val="left"/>
      <w:widowControl/>
    </w:pPr>
    <w:rPr>
      <w:rFonts w:ascii="XO Thames" w:hAnsi="XO Thames"/>
      <w:sz w:val="28"/>
    </w:rPr>
  </w:style>
  <w:style w:type="character" w:styleId="682">
    <w:name w:val="toc 8"/>
    <w:link w:val="681"/>
    <w:rPr>
      <w:rFonts w:ascii="XO Thames" w:hAnsi="XO Thames"/>
      <w:sz w:val="28"/>
    </w:rPr>
  </w:style>
  <w:style w:type="paragraph" w:styleId="683">
    <w:name w:val="toc 5"/>
    <w:next w:val="651"/>
    <w:link w:val="684"/>
    <w:uiPriority w:val="39"/>
    <w:pPr>
      <w:ind w:left="800" w:firstLine="0"/>
      <w:jc w:val="left"/>
      <w:widowControl/>
    </w:pPr>
    <w:rPr>
      <w:rFonts w:ascii="XO Thames" w:hAnsi="XO Thames"/>
      <w:sz w:val="28"/>
    </w:rPr>
  </w:style>
  <w:style w:type="character" w:styleId="684">
    <w:name w:val="toc 5"/>
    <w:link w:val="683"/>
    <w:rPr>
      <w:rFonts w:ascii="XO Thames" w:hAnsi="XO Thames"/>
      <w:sz w:val="28"/>
    </w:rPr>
  </w:style>
  <w:style w:type="paragraph" w:styleId="685">
    <w:name w:val="Subtitle"/>
    <w:next w:val="651"/>
    <w:link w:val="686"/>
    <w:uiPriority w:val="11"/>
    <w:qFormat/>
    <w:pPr>
      <w:jc w:val="both"/>
      <w:widowControl/>
    </w:pPr>
    <w:rPr>
      <w:rFonts w:ascii="XO Thames" w:hAnsi="XO Thames"/>
      <w:i/>
      <w:sz w:val="24"/>
    </w:rPr>
  </w:style>
  <w:style w:type="character" w:styleId="686">
    <w:name w:val="Subtitle"/>
    <w:link w:val="685"/>
    <w:rPr>
      <w:rFonts w:ascii="XO Thames" w:hAnsi="XO Thames"/>
      <w:i/>
      <w:sz w:val="24"/>
    </w:rPr>
  </w:style>
  <w:style w:type="paragraph" w:styleId="687">
    <w:name w:val="Title"/>
    <w:next w:val="651"/>
    <w:link w:val="688"/>
    <w:uiPriority w:val="10"/>
    <w:qFormat/>
    <w:pPr>
      <w:jc w:val="center"/>
      <w:spacing w:before="567" w:after="567"/>
      <w:widowControl/>
    </w:pPr>
    <w:rPr>
      <w:rFonts w:ascii="XO Thames" w:hAnsi="XO Thames"/>
      <w:b/>
      <w:caps/>
      <w:sz w:val="40"/>
    </w:rPr>
  </w:style>
  <w:style w:type="character" w:styleId="688">
    <w:name w:val="Title"/>
    <w:link w:val="687"/>
    <w:rPr>
      <w:rFonts w:ascii="XO Thames" w:hAnsi="XO Thames"/>
      <w:b/>
      <w:caps/>
      <w:sz w:val="40"/>
    </w:rPr>
  </w:style>
  <w:style w:type="paragraph" w:styleId="689">
    <w:name w:val="Heading 4"/>
    <w:next w:val="651"/>
    <w:link w:val="690"/>
    <w:uiPriority w:val="9"/>
    <w:qFormat/>
    <w:pPr>
      <w:jc w:val="both"/>
      <w:spacing w:before="120" w:after="120"/>
      <w:widowControl/>
      <w:outlineLvl w:val="3"/>
    </w:pPr>
    <w:rPr>
      <w:rFonts w:ascii="XO Thames" w:hAnsi="XO Thames"/>
      <w:b/>
      <w:sz w:val="24"/>
    </w:rPr>
  </w:style>
  <w:style w:type="character" w:styleId="690">
    <w:name w:val="Heading 4"/>
    <w:link w:val="689"/>
    <w:rPr>
      <w:rFonts w:ascii="XO Thames" w:hAnsi="XO Thames"/>
      <w:b/>
      <w:sz w:val="24"/>
    </w:rPr>
  </w:style>
  <w:style w:type="paragraph" w:styleId="691">
    <w:name w:val="Heading 2"/>
    <w:next w:val="651"/>
    <w:link w:val="692"/>
    <w:uiPriority w:val="9"/>
    <w:qFormat/>
    <w:pPr>
      <w:jc w:val="both"/>
      <w:spacing w:before="120" w:after="120"/>
      <w:widowControl/>
      <w:outlineLvl w:val="1"/>
    </w:pPr>
    <w:rPr>
      <w:rFonts w:ascii="XO Thames" w:hAnsi="XO Thames"/>
      <w:b/>
      <w:sz w:val="28"/>
    </w:rPr>
  </w:style>
  <w:style w:type="character" w:styleId="692">
    <w:name w:val="Heading 2"/>
    <w:link w:val="691"/>
    <w:rPr>
      <w:rFonts w:ascii="XO Thames" w:hAnsi="XO Thames"/>
      <w:b/>
      <w:sz w:val="28"/>
    </w:rPr>
  </w:style>
  <w:style w:type="numbering" w:styleId="9237" w:default="1">
    <w:name w:val="No List"/>
    <w:uiPriority w:val="99"/>
    <w:semiHidden/>
    <w:unhideWhenUsed/>
  </w:style>
  <w:style w:type="table" w:styleId="923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2025-06-24T12:59:31Z</dcterms:created>
  <dcterms:modified xsi:type="dcterms:W3CDTF">2026-03-02T08:47:52Z</dcterms:modified>
</cp:coreProperties>
</file>